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19" w:rsidRDefault="005F1919" w:rsidP="00292EE9">
      <w:pPr>
        <w:spacing w:line="276" w:lineRule="auto"/>
      </w:pPr>
      <w:r>
        <w:rPr>
          <w:noProof/>
          <w:lang w:eastAsia="es-MX"/>
        </w:rPr>
        <w:drawing>
          <wp:anchor distT="0" distB="0" distL="114300" distR="114300" simplePos="0" relativeHeight="251660288" behindDoc="0" locked="0" layoutInCell="1" allowOverlap="1">
            <wp:simplePos x="0" y="0"/>
            <wp:positionH relativeFrom="column">
              <wp:posOffset>4666615</wp:posOffset>
            </wp:positionH>
            <wp:positionV relativeFrom="paragraph">
              <wp:posOffset>-146050</wp:posOffset>
            </wp:positionV>
            <wp:extent cx="1171575" cy="89344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cstate="print">
                      <a:clrChange>
                        <a:clrFrom>
                          <a:srgbClr val="FDFDFD"/>
                        </a:clrFrom>
                        <a:clrTo>
                          <a:srgbClr val="FDFDFD">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023" t="19629" r="27075" b="26260"/>
                    <a:stretch>
                      <a:fillRect/>
                    </a:stretch>
                  </pic:blipFill>
                  <pic:spPr bwMode="auto">
                    <a:xfrm>
                      <a:off x="0" y="0"/>
                      <a:ext cx="1171575" cy="893445"/>
                    </a:xfrm>
                    <a:prstGeom prst="rect">
                      <a:avLst/>
                    </a:prstGeom>
                    <a:noFill/>
                    <a:ln>
                      <a:noFill/>
                    </a:ln>
                  </pic:spPr>
                </pic:pic>
              </a:graphicData>
            </a:graphic>
          </wp:anchor>
        </w:drawing>
      </w:r>
      <w:r>
        <w:rPr>
          <w:noProof/>
          <w:lang w:eastAsia="es-MX"/>
        </w:rPr>
        <w:drawing>
          <wp:anchor distT="0" distB="0" distL="114300" distR="114300" simplePos="0" relativeHeight="251659264" behindDoc="0" locked="0" layoutInCell="1" allowOverlap="1">
            <wp:simplePos x="0" y="0"/>
            <wp:positionH relativeFrom="column">
              <wp:posOffset>-396240</wp:posOffset>
            </wp:positionH>
            <wp:positionV relativeFrom="paragraph">
              <wp:posOffset>-92710</wp:posOffset>
            </wp:positionV>
            <wp:extent cx="1320800" cy="9353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0800" cy="935355"/>
                    </a:xfrm>
                    <a:prstGeom prst="rect">
                      <a:avLst/>
                    </a:prstGeom>
                    <a:noFill/>
                    <a:ln>
                      <a:noFill/>
                    </a:ln>
                  </pic:spPr>
                </pic:pic>
              </a:graphicData>
            </a:graphic>
          </wp:anchor>
        </w:drawing>
      </w:r>
    </w:p>
    <w:p w:rsidR="005F1919" w:rsidRDefault="005F1919" w:rsidP="00292EE9">
      <w:pPr>
        <w:spacing w:line="276" w:lineRule="auto"/>
        <w:jc w:val="center"/>
        <w:rPr>
          <w:rFonts w:ascii="Century Gothic" w:hAnsi="Century Gothic"/>
          <w:bCs/>
          <w:noProof/>
          <w:sz w:val="24"/>
          <w:szCs w:val="24"/>
          <w:lang w:eastAsia="es-ES"/>
        </w:rPr>
      </w:pPr>
    </w:p>
    <w:p w:rsidR="005F1919" w:rsidRDefault="005F1919" w:rsidP="00292EE9">
      <w:pPr>
        <w:spacing w:line="276" w:lineRule="auto"/>
        <w:jc w:val="center"/>
        <w:rPr>
          <w:rFonts w:ascii="Century Gothic" w:hAnsi="Century Gothic"/>
          <w:bCs/>
          <w:noProof/>
          <w:sz w:val="24"/>
          <w:szCs w:val="24"/>
          <w:lang w:eastAsia="es-ES"/>
        </w:rPr>
      </w:pPr>
    </w:p>
    <w:p w:rsidR="005F1919" w:rsidRPr="002651FB" w:rsidRDefault="005F1919" w:rsidP="00292EE9">
      <w:pPr>
        <w:spacing w:line="276" w:lineRule="auto"/>
        <w:jc w:val="center"/>
        <w:rPr>
          <w:rFonts w:ascii="Century Gothic" w:hAnsi="Century Gothic"/>
          <w:bCs/>
          <w:noProof/>
          <w:sz w:val="24"/>
          <w:szCs w:val="24"/>
          <w:lang w:eastAsia="es-ES"/>
        </w:rPr>
      </w:pPr>
      <w:r w:rsidRPr="002651FB">
        <w:rPr>
          <w:rFonts w:ascii="Century Gothic" w:hAnsi="Century Gothic"/>
          <w:bCs/>
          <w:noProof/>
          <w:sz w:val="24"/>
          <w:szCs w:val="24"/>
          <w:lang w:eastAsia="es-ES"/>
        </w:rPr>
        <w:t>“201</w:t>
      </w:r>
      <w:r>
        <w:rPr>
          <w:rFonts w:ascii="Century Gothic" w:hAnsi="Century Gothic"/>
          <w:bCs/>
          <w:noProof/>
          <w:sz w:val="24"/>
          <w:szCs w:val="24"/>
          <w:lang w:eastAsia="es-ES"/>
        </w:rPr>
        <w:t>4.Año de los Tratados de Teoloyucan</w:t>
      </w:r>
      <w:r w:rsidRPr="002651FB">
        <w:rPr>
          <w:rFonts w:ascii="Century Gothic" w:hAnsi="Century Gothic"/>
          <w:bCs/>
          <w:noProof/>
          <w:sz w:val="24"/>
          <w:szCs w:val="24"/>
          <w:lang w:eastAsia="es-ES"/>
        </w:rPr>
        <w:t>”</w:t>
      </w:r>
    </w:p>
    <w:p w:rsidR="005F1919" w:rsidRDefault="005F1919" w:rsidP="00292EE9">
      <w:pPr>
        <w:spacing w:line="276" w:lineRule="auto"/>
        <w:jc w:val="center"/>
      </w:pPr>
      <w:r w:rsidRPr="002651FB">
        <w:rPr>
          <w:rFonts w:ascii="Century Gothic" w:hAnsi="Century Gothic"/>
          <w:b/>
          <w:bCs/>
          <w:noProof/>
          <w:sz w:val="24"/>
          <w:szCs w:val="24"/>
          <w:lang w:eastAsia="es-ES"/>
        </w:rPr>
        <w:t>ESCUELA NORMAL N°3 DE NEZAHUALCÓYOTL</w:t>
      </w:r>
      <w:r w:rsidRPr="00FE7631">
        <w:t xml:space="preserve"> </w:t>
      </w:r>
    </w:p>
    <w:p w:rsidR="005F1919" w:rsidRDefault="005F1919" w:rsidP="00292EE9">
      <w:pPr>
        <w:spacing w:line="276" w:lineRule="auto"/>
      </w:pPr>
    </w:p>
    <w:p w:rsidR="005F1919" w:rsidRDefault="005F1919" w:rsidP="00292EE9">
      <w:pPr>
        <w:spacing w:line="276" w:lineRule="auto"/>
      </w:pPr>
    </w:p>
    <w:p w:rsidR="005F1919" w:rsidRDefault="005F1919" w:rsidP="00292EE9">
      <w:pPr>
        <w:spacing w:line="276" w:lineRule="auto"/>
      </w:pPr>
    </w:p>
    <w:p w:rsidR="005F1919" w:rsidRDefault="005F1919" w:rsidP="00292EE9">
      <w:pPr>
        <w:spacing w:line="276" w:lineRule="auto"/>
        <w:jc w:val="center"/>
        <w:rPr>
          <w:b/>
          <w:sz w:val="32"/>
          <w:szCs w:val="32"/>
        </w:rPr>
      </w:pPr>
      <w:r w:rsidRPr="00585EE6">
        <w:rPr>
          <w:b/>
          <w:sz w:val="32"/>
          <w:szCs w:val="32"/>
        </w:rPr>
        <w:t>FOROS DE CONSULTA NACIONAL PARA LA REVISIÓN DEL MODELO EDUCATIVO</w:t>
      </w:r>
    </w:p>
    <w:p w:rsidR="005F1919" w:rsidRPr="00585EE6" w:rsidRDefault="005F1919" w:rsidP="00292EE9">
      <w:pPr>
        <w:spacing w:line="276" w:lineRule="auto"/>
        <w:jc w:val="center"/>
        <w:rPr>
          <w:b/>
          <w:sz w:val="32"/>
          <w:szCs w:val="32"/>
        </w:rPr>
      </w:pPr>
    </w:p>
    <w:p w:rsidR="005F1919" w:rsidRDefault="005F1919" w:rsidP="00292EE9">
      <w:pPr>
        <w:spacing w:line="276" w:lineRule="auto"/>
        <w:jc w:val="center"/>
        <w:rPr>
          <w:b/>
          <w:sz w:val="28"/>
          <w:szCs w:val="28"/>
        </w:rPr>
      </w:pPr>
      <w:r w:rsidRPr="00585EE6">
        <w:rPr>
          <w:b/>
          <w:sz w:val="28"/>
          <w:szCs w:val="28"/>
        </w:rPr>
        <w:t>DOCUMENTO BASE EDUCACIÓN NORMAL.</w:t>
      </w:r>
    </w:p>
    <w:p w:rsidR="005F1919" w:rsidRPr="00585EE6" w:rsidRDefault="005F1919" w:rsidP="00292EE9">
      <w:pPr>
        <w:spacing w:line="276" w:lineRule="auto"/>
        <w:jc w:val="center"/>
        <w:rPr>
          <w:b/>
          <w:sz w:val="28"/>
          <w:szCs w:val="28"/>
        </w:rPr>
      </w:pPr>
    </w:p>
    <w:p w:rsidR="005F1919" w:rsidRPr="00585EE6" w:rsidRDefault="005F1919" w:rsidP="00292EE9">
      <w:pPr>
        <w:spacing w:line="276" w:lineRule="auto"/>
        <w:jc w:val="center"/>
        <w:rPr>
          <w:b/>
          <w:sz w:val="24"/>
          <w:szCs w:val="24"/>
        </w:rPr>
      </w:pPr>
      <w:r w:rsidRPr="00585EE6">
        <w:rPr>
          <w:b/>
          <w:sz w:val="24"/>
          <w:szCs w:val="24"/>
        </w:rPr>
        <w:t>PLAN INTEGRAL DE DIAGNÓSTICO, REDISEÑO Y FORTALECIMIENTO PARA EL SISTEMA DE NORMALES PÚBLICAS.</w:t>
      </w:r>
    </w:p>
    <w:p w:rsidR="005F1919" w:rsidRDefault="005F1919" w:rsidP="00292EE9">
      <w:pPr>
        <w:spacing w:line="276" w:lineRule="auto"/>
      </w:pPr>
    </w:p>
    <w:p w:rsidR="005F1919" w:rsidRDefault="005F1919" w:rsidP="00292EE9">
      <w:pPr>
        <w:spacing w:line="276" w:lineRule="auto"/>
      </w:pPr>
      <w:r>
        <w:t>3. Vínculo entre la formación profesional</w:t>
      </w:r>
      <w:r w:rsidR="003A7B10">
        <w:t xml:space="preserve"> docente y la atención  a las </w:t>
      </w:r>
      <w:r>
        <w:t>necesidades</w:t>
      </w:r>
      <w:r w:rsidR="003A7B10">
        <w:t xml:space="preserve"> reales del sistema educativo </w:t>
      </w:r>
      <w:r>
        <w:t>nacional.</w:t>
      </w:r>
    </w:p>
    <w:p w:rsidR="005F1919" w:rsidRDefault="005F1919" w:rsidP="00292EE9">
      <w:pPr>
        <w:spacing w:line="276" w:lineRule="auto"/>
      </w:pPr>
    </w:p>
    <w:p w:rsidR="005F1919" w:rsidRDefault="003A7B10" w:rsidP="00292EE9">
      <w:pPr>
        <w:spacing w:line="276" w:lineRule="auto"/>
        <w:ind w:firstLine="708"/>
      </w:pPr>
      <w:r>
        <w:t xml:space="preserve">iv. Investigación educativa como insumo </w:t>
      </w:r>
      <w:r w:rsidR="005F1919">
        <w:t xml:space="preserve">para la mejora  </w:t>
      </w:r>
      <w:proofErr w:type="gramStart"/>
      <w:r w:rsidR="005F1919">
        <w:t>continua</w:t>
      </w:r>
      <w:proofErr w:type="gramEnd"/>
      <w:r w:rsidR="005F1919">
        <w:t>.</w:t>
      </w:r>
    </w:p>
    <w:p w:rsidR="005F1919" w:rsidRDefault="005F1919" w:rsidP="00292EE9">
      <w:pPr>
        <w:tabs>
          <w:tab w:val="left" w:pos="3997"/>
        </w:tabs>
        <w:spacing w:after="0" w:line="276" w:lineRule="auto"/>
      </w:pPr>
    </w:p>
    <w:p w:rsidR="005F1919" w:rsidRDefault="005F1919" w:rsidP="00292EE9">
      <w:pPr>
        <w:tabs>
          <w:tab w:val="left" w:pos="3997"/>
        </w:tabs>
        <w:spacing w:after="0" w:line="276" w:lineRule="auto"/>
      </w:pPr>
      <w:r>
        <w:t>Presenta:</w:t>
      </w:r>
    </w:p>
    <w:p w:rsidR="005F1919" w:rsidRDefault="005F1919" w:rsidP="00292EE9">
      <w:pPr>
        <w:tabs>
          <w:tab w:val="left" w:pos="3997"/>
        </w:tabs>
        <w:spacing w:after="0" w:line="276" w:lineRule="auto"/>
      </w:pPr>
    </w:p>
    <w:p w:rsidR="005F1919" w:rsidRDefault="005F1919" w:rsidP="00292EE9">
      <w:pPr>
        <w:tabs>
          <w:tab w:val="left" w:pos="3997"/>
        </w:tabs>
        <w:spacing w:after="0" w:line="276" w:lineRule="auto"/>
      </w:pPr>
      <w:r>
        <w:t>Borges Hernández Estephany</w:t>
      </w:r>
    </w:p>
    <w:p w:rsidR="005F1919" w:rsidRDefault="003A7B10" w:rsidP="00292EE9">
      <w:pPr>
        <w:tabs>
          <w:tab w:val="left" w:pos="3997"/>
        </w:tabs>
        <w:spacing w:after="0" w:line="276" w:lineRule="auto"/>
      </w:pPr>
      <w:r>
        <w:t xml:space="preserve">Quiñones Valadez </w:t>
      </w:r>
      <w:r w:rsidR="005F1919">
        <w:t>Berenice</w:t>
      </w:r>
    </w:p>
    <w:p w:rsidR="005F1919" w:rsidRDefault="00701B17" w:rsidP="00292EE9">
      <w:pPr>
        <w:tabs>
          <w:tab w:val="left" w:pos="3997"/>
        </w:tabs>
        <w:spacing w:after="0" w:line="276" w:lineRule="auto"/>
      </w:pPr>
      <w:r>
        <w:t>Ríos</w:t>
      </w:r>
      <w:r w:rsidR="003A7B10">
        <w:t xml:space="preserve"> Olguín </w:t>
      </w:r>
      <w:r w:rsidR="005F1919">
        <w:t>Sandra</w:t>
      </w:r>
    </w:p>
    <w:p w:rsidR="005F1919" w:rsidRDefault="003A7B10" w:rsidP="00292EE9">
      <w:pPr>
        <w:tabs>
          <w:tab w:val="left" w:pos="3997"/>
        </w:tabs>
        <w:spacing w:after="0" w:line="276" w:lineRule="auto"/>
      </w:pPr>
      <w:r>
        <w:t xml:space="preserve">Torres Téllez Blanca </w:t>
      </w:r>
      <w:proofErr w:type="spellStart"/>
      <w:r w:rsidR="005F1919">
        <w:t>Anayeli</w:t>
      </w:r>
      <w:proofErr w:type="spellEnd"/>
    </w:p>
    <w:p w:rsidR="005F1919" w:rsidRDefault="005F1919" w:rsidP="00292EE9">
      <w:pPr>
        <w:tabs>
          <w:tab w:val="left" w:pos="3997"/>
        </w:tabs>
        <w:spacing w:after="0" w:line="276" w:lineRule="auto"/>
      </w:pPr>
    </w:p>
    <w:p w:rsidR="005F1919" w:rsidRPr="00585EE6" w:rsidRDefault="005F1919" w:rsidP="00292EE9">
      <w:pPr>
        <w:spacing w:line="276" w:lineRule="auto"/>
      </w:pPr>
    </w:p>
    <w:p w:rsidR="005F1919" w:rsidRDefault="005F1919" w:rsidP="00292EE9">
      <w:pPr>
        <w:tabs>
          <w:tab w:val="left" w:pos="3905"/>
        </w:tabs>
        <w:spacing w:line="276" w:lineRule="auto"/>
      </w:pPr>
      <w:r>
        <w:tab/>
        <w:t>Nezahualcóyotl, Méx., 28 de febrero de 2</w:t>
      </w:r>
      <w:r w:rsidR="00292EE9">
        <w:t>014</w:t>
      </w:r>
    </w:p>
    <w:p w:rsidR="008B7772" w:rsidRPr="008B7772" w:rsidRDefault="008B7772" w:rsidP="008B7772">
      <w:pPr>
        <w:pStyle w:val="NormalWeb"/>
        <w:spacing w:before="0" w:beforeAutospacing="0" w:after="0" w:afterAutospacing="0" w:line="360" w:lineRule="auto"/>
        <w:jc w:val="both"/>
      </w:pPr>
      <w:r w:rsidRPr="008B7772">
        <w:rPr>
          <w:rFonts w:ascii="Arial" w:hAnsi="Arial" w:cs="Arial"/>
          <w:b/>
          <w:bCs/>
          <w:color w:val="000000"/>
        </w:rPr>
        <w:lastRenderedPageBreak/>
        <w:t xml:space="preserve">Resumen </w:t>
      </w:r>
    </w:p>
    <w:p w:rsidR="008B7772" w:rsidRPr="008B7772" w:rsidRDefault="008B7772" w:rsidP="008B7772">
      <w:pPr>
        <w:pStyle w:val="NormalWeb"/>
        <w:spacing w:before="0" w:beforeAutospacing="0" w:after="0" w:afterAutospacing="0" w:line="360" w:lineRule="auto"/>
        <w:jc w:val="both"/>
      </w:pPr>
      <w:r w:rsidRPr="008B7772">
        <w:rPr>
          <w:rFonts w:ascii="Arial" w:hAnsi="Arial" w:cs="Arial"/>
          <w:color w:val="000000"/>
        </w:rPr>
        <w:t xml:space="preserve">El trayecto formativo “práctica profesional”,  implica  un acercamiento paulatino a las experiencias docentes en diversos contextos y al desarrollo del pensamiento reflexivo a través del uso de la investigación educativa que trasciende directamente en el mismo. Lo anterior, demanda que los estudiantes normalistas asuman el compromiso  no únicamente como agentes investigadores, sino también como parte de una comunidad de aprendizaje que requiere la movilización de investigaciones   a través de su divulgación. </w:t>
      </w:r>
    </w:p>
    <w:p w:rsidR="008B7772" w:rsidRPr="008B7772" w:rsidRDefault="008B7772" w:rsidP="008B7772">
      <w:pPr>
        <w:pStyle w:val="NormalWeb"/>
        <w:spacing w:before="0" w:beforeAutospacing="0" w:after="0" w:afterAutospacing="0" w:line="360" w:lineRule="auto"/>
        <w:jc w:val="both"/>
      </w:pPr>
      <w:r w:rsidRPr="008B7772">
        <w:rPr>
          <w:rFonts w:ascii="Arial" w:hAnsi="Arial" w:cs="Arial"/>
          <w:b/>
          <w:bCs/>
          <w:color w:val="000000"/>
        </w:rPr>
        <w:t xml:space="preserve">Palabras clave: </w:t>
      </w:r>
      <w:r w:rsidRPr="008B7772">
        <w:rPr>
          <w:rFonts w:ascii="Arial" w:hAnsi="Arial" w:cs="Arial"/>
          <w:color w:val="000000"/>
        </w:rPr>
        <w:t>Investigación, Trayecto formativo, Práctica profesional, comunidad de aprendizaje.</w:t>
      </w:r>
    </w:p>
    <w:p w:rsidR="008B7772" w:rsidRPr="008B7772" w:rsidRDefault="008B7772" w:rsidP="008B7772">
      <w:pPr>
        <w:spacing w:line="360" w:lineRule="auto"/>
        <w:jc w:val="both"/>
        <w:rPr>
          <w:sz w:val="24"/>
          <w:szCs w:val="24"/>
        </w:rPr>
      </w:pPr>
    </w:p>
    <w:p w:rsidR="008B7772" w:rsidRPr="008B7772" w:rsidRDefault="008B7772" w:rsidP="008B7772">
      <w:pPr>
        <w:pStyle w:val="NormalWeb"/>
        <w:spacing w:before="0" w:beforeAutospacing="0" w:after="0" w:afterAutospacing="0" w:line="360" w:lineRule="auto"/>
        <w:jc w:val="both"/>
        <w:rPr>
          <w:lang w:val="en-US"/>
        </w:rPr>
      </w:pPr>
      <w:r w:rsidRPr="008B7772">
        <w:rPr>
          <w:rFonts w:ascii="Arial" w:hAnsi="Arial" w:cs="Arial"/>
          <w:b/>
          <w:bCs/>
          <w:color w:val="000000"/>
          <w:lang w:val="en-US"/>
        </w:rPr>
        <w:t>Abstract</w:t>
      </w:r>
    </w:p>
    <w:p w:rsidR="008B7772" w:rsidRPr="008B7772" w:rsidRDefault="008B7772" w:rsidP="008B7772">
      <w:pPr>
        <w:pStyle w:val="NormalWeb"/>
        <w:spacing w:before="0" w:beforeAutospacing="0" w:after="0" w:afterAutospacing="0" w:line="360" w:lineRule="auto"/>
        <w:jc w:val="both"/>
        <w:rPr>
          <w:lang w:val="en-US"/>
        </w:rPr>
      </w:pPr>
      <w:r w:rsidRPr="008B7772">
        <w:rPr>
          <w:rFonts w:ascii="Arial" w:hAnsi="Arial" w:cs="Arial"/>
          <w:color w:val="000000"/>
          <w:lang w:val="en-US"/>
        </w:rPr>
        <w:t>The Educational journey called “Professional Practice” involves a gradual approach to the professional practice in specific contexts and the thoughtful thinking development through the use of educational research that spreads into it.</w:t>
      </w:r>
    </w:p>
    <w:p w:rsidR="008B7772" w:rsidRPr="008B7772" w:rsidRDefault="008B7772" w:rsidP="008B7772">
      <w:pPr>
        <w:pStyle w:val="NormalWeb"/>
        <w:spacing w:before="0" w:beforeAutospacing="0" w:after="0" w:afterAutospacing="0" w:line="360" w:lineRule="auto"/>
        <w:jc w:val="both"/>
        <w:rPr>
          <w:lang w:val="en-US"/>
        </w:rPr>
      </w:pPr>
      <w:r w:rsidRPr="008B7772">
        <w:rPr>
          <w:rFonts w:ascii="Arial" w:hAnsi="Arial" w:cs="Arial"/>
          <w:color w:val="000000"/>
          <w:lang w:val="en-US"/>
        </w:rPr>
        <w:t xml:space="preserve">The previous idea demands that </w:t>
      </w:r>
      <w:proofErr w:type="spellStart"/>
      <w:r w:rsidRPr="008B7772">
        <w:rPr>
          <w:rFonts w:ascii="Arial" w:hAnsi="Arial" w:cs="Arial"/>
          <w:color w:val="000000"/>
          <w:lang w:val="en-US"/>
        </w:rPr>
        <w:t>normalist</w:t>
      </w:r>
      <w:proofErr w:type="spellEnd"/>
      <w:r w:rsidRPr="008B7772">
        <w:rPr>
          <w:rFonts w:ascii="Arial" w:hAnsi="Arial" w:cs="Arial"/>
          <w:color w:val="000000"/>
          <w:lang w:val="en-US"/>
        </w:rPr>
        <w:t xml:space="preserve"> students have to take over the responsibility not just like researchers but as a part of learning community that requires mobilization of research through disclosure. </w:t>
      </w:r>
    </w:p>
    <w:p w:rsidR="008B7772" w:rsidRPr="008B7772" w:rsidRDefault="008B7772" w:rsidP="008B7772">
      <w:pPr>
        <w:widowControl w:val="0"/>
        <w:spacing w:line="360" w:lineRule="auto"/>
        <w:jc w:val="both"/>
        <w:rPr>
          <w:rFonts w:ascii="Arial" w:hAnsi="Arial" w:cs="Arial"/>
          <w:b/>
          <w:sz w:val="24"/>
          <w:szCs w:val="24"/>
          <w:lang w:val="en-US"/>
        </w:rPr>
      </w:pPr>
      <w:r w:rsidRPr="008B7772">
        <w:rPr>
          <w:rFonts w:ascii="Arial" w:hAnsi="Arial" w:cs="Arial"/>
          <w:b/>
          <w:bCs/>
          <w:color w:val="000000"/>
          <w:sz w:val="24"/>
          <w:szCs w:val="24"/>
          <w:lang w:val="en-US"/>
        </w:rPr>
        <w:t>Key words:</w:t>
      </w:r>
      <w:r w:rsidRPr="008B7772">
        <w:rPr>
          <w:rFonts w:ascii="Arial" w:hAnsi="Arial" w:cs="Arial"/>
          <w:color w:val="000000"/>
          <w:sz w:val="24"/>
          <w:szCs w:val="24"/>
          <w:lang w:val="en-US"/>
        </w:rPr>
        <w:t xml:space="preserve"> Research, Educational Journey, Professional practice, learning community.</w:t>
      </w:r>
      <w:r w:rsidRPr="008B7772">
        <w:rPr>
          <w:rFonts w:ascii="Arial" w:hAnsi="Arial" w:cs="Arial"/>
          <w:b/>
          <w:sz w:val="24"/>
          <w:szCs w:val="24"/>
          <w:lang w:val="en-US"/>
        </w:rPr>
        <w:t xml:space="preserve"> </w:t>
      </w:r>
    </w:p>
    <w:p w:rsidR="008B7772" w:rsidRPr="008B7772" w:rsidRDefault="008B7772" w:rsidP="008B7772">
      <w:pPr>
        <w:widowControl w:val="0"/>
        <w:spacing w:line="360" w:lineRule="auto"/>
        <w:jc w:val="both"/>
        <w:rPr>
          <w:rFonts w:ascii="Arial" w:hAnsi="Arial" w:cs="Arial"/>
          <w:b/>
          <w:sz w:val="24"/>
          <w:szCs w:val="24"/>
          <w:lang w:val="en-US"/>
        </w:rPr>
      </w:pPr>
    </w:p>
    <w:p w:rsidR="008B7772" w:rsidRPr="008B7772" w:rsidRDefault="008B7772" w:rsidP="008B7772">
      <w:pPr>
        <w:widowControl w:val="0"/>
        <w:spacing w:line="360" w:lineRule="auto"/>
        <w:jc w:val="both"/>
        <w:rPr>
          <w:rFonts w:ascii="Arial" w:hAnsi="Arial" w:cs="Arial"/>
          <w:b/>
          <w:sz w:val="24"/>
          <w:szCs w:val="24"/>
          <w:lang w:val="en-US"/>
        </w:rPr>
      </w:pPr>
    </w:p>
    <w:p w:rsidR="008B7772" w:rsidRPr="008B7772" w:rsidRDefault="008B7772" w:rsidP="008B7772">
      <w:pPr>
        <w:widowControl w:val="0"/>
        <w:spacing w:line="360" w:lineRule="auto"/>
        <w:jc w:val="both"/>
        <w:rPr>
          <w:rFonts w:ascii="Arial" w:hAnsi="Arial" w:cs="Arial"/>
          <w:b/>
          <w:sz w:val="24"/>
          <w:szCs w:val="24"/>
          <w:lang w:val="en-US"/>
        </w:rPr>
      </w:pPr>
    </w:p>
    <w:p w:rsidR="008B7772" w:rsidRPr="008B7772" w:rsidRDefault="008B7772" w:rsidP="008B7772">
      <w:pPr>
        <w:widowControl w:val="0"/>
        <w:spacing w:line="360" w:lineRule="auto"/>
        <w:jc w:val="both"/>
        <w:rPr>
          <w:rFonts w:ascii="Arial" w:hAnsi="Arial" w:cs="Arial"/>
          <w:b/>
          <w:sz w:val="24"/>
          <w:szCs w:val="24"/>
          <w:lang w:val="en-US"/>
        </w:rPr>
      </w:pPr>
    </w:p>
    <w:p w:rsidR="008B7772" w:rsidRPr="008B7772" w:rsidRDefault="008B7772" w:rsidP="008B7772">
      <w:pPr>
        <w:widowControl w:val="0"/>
        <w:spacing w:line="360" w:lineRule="auto"/>
        <w:jc w:val="both"/>
        <w:rPr>
          <w:rFonts w:ascii="Arial" w:hAnsi="Arial" w:cs="Arial"/>
          <w:b/>
          <w:sz w:val="24"/>
          <w:szCs w:val="24"/>
          <w:lang w:val="en-US"/>
        </w:rPr>
      </w:pPr>
    </w:p>
    <w:p w:rsidR="008B7772" w:rsidRPr="008B7772" w:rsidRDefault="008B7772" w:rsidP="008B7772">
      <w:pPr>
        <w:widowControl w:val="0"/>
        <w:spacing w:line="360" w:lineRule="auto"/>
        <w:jc w:val="both"/>
        <w:rPr>
          <w:rFonts w:ascii="Arial" w:hAnsi="Arial" w:cs="Arial"/>
          <w:b/>
          <w:sz w:val="24"/>
          <w:szCs w:val="24"/>
          <w:lang w:val="en-US"/>
        </w:rPr>
      </w:pPr>
    </w:p>
    <w:p w:rsidR="008B7772" w:rsidRPr="008B7772" w:rsidRDefault="008B7772" w:rsidP="008B7772">
      <w:pPr>
        <w:widowControl w:val="0"/>
        <w:spacing w:line="360" w:lineRule="auto"/>
        <w:jc w:val="both"/>
        <w:rPr>
          <w:rFonts w:ascii="Arial" w:hAnsi="Arial" w:cs="Arial"/>
          <w:b/>
          <w:sz w:val="24"/>
          <w:szCs w:val="24"/>
          <w:lang w:val="en-US"/>
        </w:rPr>
      </w:pPr>
    </w:p>
    <w:p w:rsidR="008B7772" w:rsidRPr="008B7772" w:rsidRDefault="008B7772" w:rsidP="008B7772">
      <w:pPr>
        <w:widowControl w:val="0"/>
        <w:spacing w:line="360" w:lineRule="auto"/>
        <w:jc w:val="both"/>
        <w:rPr>
          <w:rFonts w:ascii="Arial" w:hAnsi="Arial" w:cs="Arial"/>
          <w:b/>
          <w:sz w:val="24"/>
          <w:szCs w:val="24"/>
          <w:lang w:val="en-US"/>
        </w:rPr>
      </w:pPr>
    </w:p>
    <w:p w:rsidR="00FA77C8" w:rsidRPr="00FA77C8" w:rsidRDefault="00FA77C8" w:rsidP="008B7772">
      <w:pPr>
        <w:widowControl w:val="0"/>
        <w:spacing w:line="360" w:lineRule="auto"/>
        <w:jc w:val="center"/>
        <w:rPr>
          <w:rFonts w:ascii="Arial" w:hAnsi="Arial" w:cs="Arial"/>
          <w:sz w:val="24"/>
          <w:szCs w:val="24"/>
        </w:rPr>
      </w:pPr>
      <w:r w:rsidRPr="00FA77C8">
        <w:rPr>
          <w:rFonts w:ascii="Arial" w:hAnsi="Arial" w:cs="Arial"/>
          <w:b/>
          <w:sz w:val="24"/>
          <w:szCs w:val="24"/>
        </w:rPr>
        <w:lastRenderedPageBreak/>
        <w:t>“LA RELEVANCIA DE LA INVESTIGACIÓN  EDUCATIVA EN  EL  TRAYECTO  FORMATIVO  DE PRÁCTICA  PROFESIONAL”</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 </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La Reforma Curricular de la Educación Normal con el objeto de formar docentes que respondan a las necesidades sociales, al modelo pedagógico y los planes de estudio que de ella se derivan, se sustentan en las tendencias actuales de la formación docente; en las diversas perspectivas teórico-metodológicas de las disciplinas que son objeto de enseñanza en la educación básica y de aquellas que explican el proceso educativo.</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 Enfocándonos en el Plan de Estudios para la Formación de Maestros de Educación Preescolar 2011, la malla curricular está constituida por cinco trayectos formativos, que se interrelacionan para lograr el cumplimiento de las competencias genéricas y profesionales establecidas en el perfil de egreso del futuro maestro.</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En particular, el Trayecto de “Práctica profesional” es un espacio destinado para la reflexión, análisis, intervención e innovación de la docencia, vincula los saberes adquiridos o desarrollados en cada uno de los semestres con proyectos de intervención en el aula. Tiene un carácter integrador en el sentido de que recupera todos los trayectos formativos para poder dar respuesta a las situaciones y problemáticas de la práctica profesional. </w:t>
      </w:r>
    </w:p>
    <w:p w:rsidR="00FA77C8" w:rsidRPr="00FA77C8" w:rsidRDefault="008C4787" w:rsidP="00FA77C8">
      <w:pPr>
        <w:widowControl w:val="0"/>
        <w:spacing w:line="360" w:lineRule="auto"/>
        <w:jc w:val="both"/>
        <w:rPr>
          <w:rFonts w:ascii="Arial" w:hAnsi="Arial" w:cs="Arial"/>
          <w:sz w:val="24"/>
          <w:szCs w:val="24"/>
        </w:rPr>
      </w:pPr>
      <w:r>
        <w:rPr>
          <w:rFonts w:ascii="Arial" w:hAnsi="Arial" w:cs="Arial"/>
          <w:sz w:val="24"/>
          <w:szCs w:val="24"/>
        </w:rPr>
        <w:t xml:space="preserve">Es así que </w:t>
      </w:r>
      <w:r w:rsidR="00FA77C8" w:rsidRPr="00FA77C8">
        <w:rPr>
          <w:rFonts w:ascii="Arial" w:hAnsi="Arial" w:cs="Arial"/>
          <w:sz w:val="24"/>
          <w:szCs w:val="24"/>
        </w:rPr>
        <w:t xml:space="preserve">es concebida como el conjunto de acciones, estrategias e intenciones que un sujeto pone en juego para intervenir y transformar el contexto. La transformación es realizada a través de un proceso   de relación y reconstrucción entre la teoría y la realidad educativa. </w:t>
      </w:r>
    </w:p>
    <w:p w:rsidR="00FA77C8" w:rsidRPr="00FA77C8" w:rsidRDefault="0075024F" w:rsidP="00FA77C8">
      <w:pPr>
        <w:widowControl w:val="0"/>
        <w:spacing w:line="360" w:lineRule="auto"/>
        <w:jc w:val="both"/>
        <w:rPr>
          <w:rFonts w:ascii="Arial" w:hAnsi="Arial" w:cs="Arial"/>
          <w:sz w:val="24"/>
          <w:szCs w:val="24"/>
        </w:rPr>
      </w:pPr>
      <w:r>
        <w:rPr>
          <w:rFonts w:ascii="Arial" w:hAnsi="Arial" w:cs="Arial"/>
          <w:sz w:val="24"/>
          <w:szCs w:val="24"/>
        </w:rPr>
        <w:t>Este</w:t>
      </w:r>
      <w:r w:rsidR="00FA77C8" w:rsidRPr="00FA77C8">
        <w:rPr>
          <w:rFonts w:ascii="Arial" w:hAnsi="Arial" w:cs="Arial"/>
          <w:sz w:val="24"/>
          <w:szCs w:val="24"/>
        </w:rPr>
        <w:t xml:space="preserve"> trayecto posee tres aspectos fundamentales: secuencialidad, gradualidad y profundidad.  La relevancia de ellos trasciende en la articulación que existe entre cada uno de los cursos que lo conforman. Así cada semestre sienta bases y ofrece conocimientos específicos, convertidos en los insumos que servirán para atender de manera particular la complejidad de la docencia.  </w:t>
      </w:r>
    </w:p>
    <w:p w:rsidR="0075024F" w:rsidRDefault="0075024F" w:rsidP="00FA77C8">
      <w:pPr>
        <w:widowControl w:val="0"/>
        <w:spacing w:line="360" w:lineRule="auto"/>
        <w:jc w:val="both"/>
        <w:rPr>
          <w:rFonts w:ascii="Arial" w:hAnsi="Arial" w:cs="Arial"/>
          <w:sz w:val="24"/>
          <w:szCs w:val="24"/>
        </w:rPr>
      </w:pP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lastRenderedPageBreak/>
        <w:t>Con base en</w:t>
      </w:r>
      <w:r w:rsidR="0075024F">
        <w:rPr>
          <w:rFonts w:ascii="Arial" w:hAnsi="Arial" w:cs="Arial"/>
          <w:sz w:val="24"/>
          <w:szCs w:val="24"/>
        </w:rPr>
        <w:t xml:space="preserve"> lo anterior</w:t>
      </w:r>
      <w:r w:rsidRPr="00FA77C8">
        <w:rPr>
          <w:rFonts w:ascii="Arial" w:hAnsi="Arial" w:cs="Arial"/>
          <w:sz w:val="24"/>
          <w:szCs w:val="24"/>
        </w:rPr>
        <w:t>, la estructura de los cursos se organiza de la siguiente manera:</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El primero y segundo semestre </w:t>
      </w:r>
      <w:r w:rsidR="008C4787" w:rsidRPr="00FA77C8">
        <w:rPr>
          <w:rFonts w:ascii="Arial" w:hAnsi="Arial" w:cs="Arial"/>
          <w:sz w:val="24"/>
          <w:szCs w:val="24"/>
        </w:rPr>
        <w:t>tiene</w:t>
      </w:r>
      <w:r w:rsidRPr="00FA77C8">
        <w:rPr>
          <w:rFonts w:ascii="Arial" w:hAnsi="Arial" w:cs="Arial"/>
          <w:sz w:val="24"/>
          <w:szCs w:val="24"/>
        </w:rPr>
        <w:t xml:space="preserve"> como finalidad la utilización de recursos de investigación educativa para enriquecer la práctica docente, expresando así  su interés por la propia investigación </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En tercer y cuarto semestre, los futuros docentes potencian los aprendizajes, la capacidad de observación y análisis de la práctica a través de la documentación narrativa, apoyada de instrumentos como  diarios anecdóticos, fotografías y  videograbaciones. </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Los elementos anteriormente mencionados les permitirán contrastar y valorar su experiencia en la práctica profesional.</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Durante el quinto y sexto semestre se ofrecen elementos conceptuales y metodológicos relativos a la innovación en educación. A su vez, se conforman proyectos de intervención socioeducativa para potenciar, movilizar saberes y experiencias derivadas de la práctica profesional en los que involucran a los actores del ámbito educativo. </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Las herramientas teóricas-metodológicas y didácticas propuestas en cada uno de los semestres son fundamentales para mejorar, innovar y transformar la docencia, de ahí que los ejercicios construidos deben de potenciar el análisis, interpretación y reflexión.  </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El trayecto, no puede reducirse al aprendizaje de contenidos disciplinares,  es decir, se encuentra en la búsqueda constante de explicaciones, que se pueden generar a partir del uso de la investigación.</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Considerando a M. Paz </w:t>
      </w:r>
      <w:proofErr w:type="spellStart"/>
      <w:r w:rsidRPr="00FA77C8">
        <w:rPr>
          <w:rFonts w:ascii="Arial" w:hAnsi="Arial" w:cs="Arial"/>
          <w:sz w:val="24"/>
          <w:szCs w:val="24"/>
        </w:rPr>
        <w:t>Sandín</w:t>
      </w:r>
      <w:proofErr w:type="spellEnd"/>
      <w:r w:rsidRPr="00FA77C8">
        <w:rPr>
          <w:rFonts w:ascii="Arial" w:hAnsi="Arial" w:cs="Arial"/>
          <w:sz w:val="24"/>
          <w:szCs w:val="24"/>
        </w:rPr>
        <w:t xml:space="preserve"> Esteban (2006)  la  investigación “es una actividad sistemática orientada a la comprensión en profundidad de fenómenos educativos y sociales, a la transformación de prácticas y escenarios socioeducativos, a la toma de decisiones y también hacia el descubrimiento  y desarrollo de un cuerpo organizado de conocimientos.”</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lastRenderedPageBreak/>
        <w:t xml:space="preserve">Por ello, en los  futuros docentes surge la necesidad de implementar  la investigación como herramienta para identificar, analizar, reflexionar y solucionar los problemas con los que se encuentra en la realidad </w:t>
      </w:r>
      <w:r w:rsidR="00CD450C">
        <w:rPr>
          <w:rFonts w:ascii="Arial" w:hAnsi="Arial" w:cs="Arial"/>
          <w:sz w:val="24"/>
          <w:szCs w:val="24"/>
        </w:rPr>
        <w:t xml:space="preserve">educativa e  incluso para valorar </w:t>
      </w:r>
      <w:r w:rsidRPr="00FA77C8">
        <w:rPr>
          <w:rFonts w:ascii="Arial" w:hAnsi="Arial" w:cs="Arial"/>
          <w:sz w:val="24"/>
          <w:szCs w:val="24"/>
        </w:rPr>
        <w:t xml:space="preserve"> críticamente los aportes elaborados por los teóricos. La investigación es un proceso que se nutre y reconstruye de manera dinámica, debido a que intervienen sujetos de estudio, lo cual demanda recursos, formación y estrategias que nos permitan encontrar respuestas út</w:t>
      </w:r>
      <w:r w:rsidR="00CD450C">
        <w:rPr>
          <w:rFonts w:ascii="Arial" w:hAnsi="Arial" w:cs="Arial"/>
          <w:sz w:val="24"/>
          <w:szCs w:val="24"/>
        </w:rPr>
        <w:t xml:space="preserve">iles, realistas y eficaces a fin de </w:t>
      </w:r>
      <w:r w:rsidRPr="00FA77C8">
        <w:rPr>
          <w:rFonts w:ascii="Arial" w:hAnsi="Arial" w:cs="Arial"/>
          <w:sz w:val="24"/>
          <w:szCs w:val="24"/>
        </w:rPr>
        <w:t>adaptar la educación a los nuevos requerimientos sociales</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A  través su uso se pueden generar y  desarrollar  habilidades cognitivas como: observación, descripción, comparación, clasificac</w:t>
      </w:r>
      <w:r w:rsidR="00CD450C">
        <w:rPr>
          <w:rFonts w:ascii="Arial" w:hAnsi="Arial" w:cs="Arial"/>
          <w:sz w:val="24"/>
          <w:szCs w:val="24"/>
        </w:rPr>
        <w:t xml:space="preserve">ión, interpretación, </w:t>
      </w:r>
      <w:proofErr w:type="gramStart"/>
      <w:r w:rsidR="00CD450C">
        <w:rPr>
          <w:rFonts w:ascii="Arial" w:hAnsi="Arial" w:cs="Arial"/>
          <w:sz w:val="24"/>
          <w:szCs w:val="24"/>
        </w:rPr>
        <w:t>análisis ,</w:t>
      </w:r>
      <w:proofErr w:type="gramEnd"/>
      <w:r w:rsidR="00CD450C">
        <w:rPr>
          <w:rFonts w:ascii="Arial" w:hAnsi="Arial" w:cs="Arial"/>
          <w:sz w:val="24"/>
          <w:szCs w:val="24"/>
        </w:rPr>
        <w:t xml:space="preserve"> así como la </w:t>
      </w:r>
      <w:r w:rsidRPr="00FA77C8">
        <w:rPr>
          <w:rFonts w:ascii="Arial" w:hAnsi="Arial" w:cs="Arial"/>
          <w:sz w:val="24"/>
          <w:szCs w:val="24"/>
        </w:rPr>
        <w:t>reflexión.</w:t>
      </w:r>
    </w:p>
    <w:p w:rsidR="00FA77C8" w:rsidRPr="00FA77C8" w:rsidRDefault="00CD450C" w:rsidP="00FA77C8">
      <w:pPr>
        <w:widowControl w:val="0"/>
        <w:spacing w:line="360" w:lineRule="auto"/>
        <w:jc w:val="both"/>
        <w:rPr>
          <w:rFonts w:ascii="Arial" w:hAnsi="Arial" w:cs="Arial"/>
          <w:sz w:val="24"/>
          <w:szCs w:val="24"/>
        </w:rPr>
      </w:pPr>
      <w:r>
        <w:rPr>
          <w:rFonts w:ascii="Arial" w:hAnsi="Arial" w:cs="Arial"/>
          <w:sz w:val="24"/>
          <w:szCs w:val="24"/>
        </w:rPr>
        <w:t>De ahí</w:t>
      </w:r>
      <w:r w:rsidR="00FA77C8" w:rsidRPr="00FA77C8">
        <w:rPr>
          <w:rFonts w:ascii="Arial" w:hAnsi="Arial" w:cs="Arial"/>
          <w:sz w:val="24"/>
          <w:szCs w:val="24"/>
        </w:rPr>
        <w:t xml:space="preserve">, la importancia de la investigación pedagógica </w:t>
      </w:r>
      <w:r>
        <w:rPr>
          <w:rFonts w:ascii="Arial" w:hAnsi="Arial" w:cs="Arial"/>
          <w:sz w:val="24"/>
          <w:szCs w:val="24"/>
        </w:rPr>
        <w:t xml:space="preserve">se fundamenta a partir de </w:t>
      </w:r>
      <w:r w:rsidR="00FA77C8" w:rsidRPr="00FA77C8">
        <w:rPr>
          <w:rFonts w:ascii="Arial" w:hAnsi="Arial" w:cs="Arial"/>
          <w:sz w:val="24"/>
          <w:szCs w:val="24"/>
        </w:rPr>
        <w:t>tres funciones: facilita los fundamentos teóricos para introducir cambios en las prácticas pedagógicas  a través del desarrollo de  innovaciones,</w:t>
      </w:r>
      <w:r>
        <w:rPr>
          <w:rFonts w:ascii="Arial" w:hAnsi="Arial" w:cs="Arial"/>
          <w:sz w:val="24"/>
          <w:szCs w:val="24"/>
        </w:rPr>
        <w:t xml:space="preserve"> ayuda a la toma de decisiones, </w:t>
      </w:r>
      <w:r w:rsidR="00FA77C8" w:rsidRPr="00FA77C8">
        <w:rPr>
          <w:rFonts w:ascii="Arial" w:hAnsi="Arial" w:cs="Arial"/>
          <w:sz w:val="24"/>
          <w:szCs w:val="24"/>
        </w:rPr>
        <w:t xml:space="preserve">permite sistematizar el saber recabado  durante las experiencias y reflexiones pedagógicas. </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Abordarla como elemento complementario durante las jornadas de intervención docente supone seguir diversos métodos investigativos, </w:t>
      </w:r>
      <w:r w:rsidR="008C4787" w:rsidRPr="00FA77C8">
        <w:rPr>
          <w:rFonts w:ascii="Arial" w:hAnsi="Arial" w:cs="Arial"/>
          <w:sz w:val="24"/>
          <w:szCs w:val="24"/>
        </w:rPr>
        <w:t>invitándonos</w:t>
      </w:r>
      <w:r w:rsidRPr="00FA77C8">
        <w:rPr>
          <w:rFonts w:ascii="Arial" w:hAnsi="Arial" w:cs="Arial"/>
          <w:sz w:val="24"/>
          <w:szCs w:val="24"/>
        </w:rPr>
        <w:t xml:space="preserve"> a </w:t>
      </w:r>
      <w:r w:rsidR="00CD450C">
        <w:rPr>
          <w:rFonts w:ascii="Arial" w:hAnsi="Arial" w:cs="Arial"/>
          <w:sz w:val="24"/>
          <w:szCs w:val="24"/>
        </w:rPr>
        <w:t>revisar diversas soluciones  para identifica</w:t>
      </w:r>
      <w:r w:rsidRPr="00FA77C8">
        <w:rPr>
          <w:rFonts w:ascii="Arial" w:hAnsi="Arial" w:cs="Arial"/>
          <w:sz w:val="24"/>
          <w:szCs w:val="24"/>
        </w:rPr>
        <w:t>r si la respuesta alcanzada es satisfactoria, lo cual a su vez nos irá dotando de aprendizajes, competencias y habilidades durante su proceso, que además se anexan en las demandas que requiere el trayecto formativo mencionado anteriormente, impulsado por la obtención de nuevos resultados basados en intereses y necesidades que son un  producto de motivación para responder nuevos cuestionamientos encontrados en el día a día de lo que implica una “práctica profesional”.</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Sin embargo debemos preguntarnos  ¿Cómo se pueden  divulgar  las investigaciones realizadas por estudiantes Normalistas  para enriquecer el trayecto de práctica profesional? </w:t>
      </w:r>
    </w:p>
    <w:p w:rsidR="00CD450C" w:rsidRDefault="00CD450C" w:rsidP="00FA77C8">
      <w:pPr>
        <w:widowControl w:val="0"/>
        <w:spacing w:line="360" w:lineRule="auto"/>
        <w:jc w:val="both"/>
        <w:rPr>
          <w:rFonts w:ascii="Arial" w:hAnsi="Arial" w:cs="Arial"/>
          <w:sz w:val="24"/>
          <w:szCs w:val="24"/>
        </w:rPr>
      </w:pP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lastRenderedPageBreak/>
        <w:t xml:space="preserve">Una de las dificultades que se vislumbra en el trayecto formativo de Práctica Profesional  y en la construcción de investigaciones realizadas en el transcurso de él, subyace en que dentro de su finalidad formativa no  se encuentra </w:t>
      </w:r>
      <w:proofErr w:type="gramStart"/>
      <w:r w:rsidRPr="00FA77C8">
        <w:rPr>
          <w:rFonts w:ascii="Arial" w:hAnsi="Arial" w:cs="Arial"/>
          <w:sz w:val="24"/>
          <w:szCs w:val="24"/>
        </w:rPr>
        <w:t>establecido</w:t>
      </w:r>
      <w:proofErr w:type="gramEnd"/>
      <w:r w:rsidRPr="00FA77C8">
        <w:rPr>
          <w:rFonts w:ascii="Arial" w:hAnsi="Arial" w:cs="Arial"/>
          <w:sz w:val="24"/>
          <w:szCs w:val="24"/>
        </w:rPr>
        <w:t xml:space="preserve"> la socialización de estas con la comunidad estudiantil normalista. </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 xml:space="preserve">Por lo tanto, es una necesidad crear una comunidad de aprendizaje en la que los alumnos de las Escuelas Normales puedan divulgar  las investigaciones realizadas para enriquecer el trayecto formativo de la Práctica Profesional. </w:t>
      </w:r>
    </w:p>
    <w:p w:rsidR="00FA77C8" w:rsidRPr="00FA77C8" w:rsidRDefault="00FA77C8" w:rsidP="00FA77C8">
      <w:pPr>
        <w:spacing w:line="360" w:lineRule="auto"/>
        <w:jc w:val="both"/>
        <w:rPr>
          <w:rFonts w:ascii="Arial" w:hAnsi="Arial" w:cs="Arial"/>
          <w:sz w:val="24"/>
          <w:szCs w:val="24"/>
        </w:rPr>
      </w:pPr>
      <w:r w:rsidRPr="00FA77C8">
        <w:rPr>
          <w:rFonts w:ascii="Arial" w:hAnsi="Arial" w:cs="Arial"/>
          <w:sz w:val="24"/>
          <w:szCs w:val="24"/>
        </w:rPr>
        <w:t>El aprendizaje colectivo  se basa en la comunicación, el intercambio y la construcción del conocimiento junto con otros individuos. “Se supone que si un gran número de personas conectadas busca resolver un problema, el conocimiento colectivo generará mayor diversidad e ideas para proponer soluciones” (</w:t>
      </w:r>
      <w:proofErr w:type="spellStart"/>
      <w:r w:rsidRPr="00FA77C8">
        <w:rPr>
          <w:rFonts w:ascii="Arial" w:hAnsi="Arial" w:cs="Arial"/>
          <w:sz w:val="24"/>
          <w:szCs w:val="24"/>
        </w:rPr>
        <w:t>Keen</w:t>
      </w:r>
      <w:proofErr w:type="spellEnd"/>
      <w:r w:rsidRPr="00FA77C8">
        <w:rPr>
          <w:rFonts w:ascii="Arial" w:hAnsi="Arial" w:cs="Arial"/>
          <w:sz w:val="24"/>
          <w:szCs w:val="24"/>
        </w:rPr>
        <w:t xml:space="preserve">, 2005; </w:t>
      </w:r>
      <w:proofErr w:type="spellStart"/>
      <w:r w:rsidRPr="00FA77C8">
        <w:rPr>
          <w:rFonts w:ascii="Arial" w:hAnsi="Arial" w:cs="Arial"/>
          <w:sz w:val="24"/>
          <w:szCs w:val="24"/>
        </w:rPr>
        <w:t>Surowiecki</w:t>
      </w:r>
      <w:proofErr w:type="spellEnd"/>
      <w:r w:rsidRPr="00FA77C8">
        <w:rPr>
          <w:rFonts w:ascii="Arial" w:hAnsi="Arial" w:cs="Arial"/>
          <w:sz w:val="24"/>
          <w:szCs w:val="24"/>
        </w:rPr>
        <w:t xml:space="preserve">, 2004, cit. por </w:t>
      </w:r>
      <w:proofErr w:type="spellStart"/>
      <w:r w:rsidRPr="00FA77C8">
        <w:rPr>
          <w:rFonts w:ascii="Arial" w:hAnsi="Arial" w:cs="Arial"/>
          <w:sz w:val="24"/>
          <w:szCs w:val="24"/>
        </w:rPr>
        <w:t>Littlejohn</w:t>
      </w:r>
      <w:proofErr w:type="spellEnd"/>
      <w:r w:rsidRPr="00FA77C8">
        <w:rPr>
          <w:rFonts w:ascii="Arial" w:hAnsi="Arial" w:cs="Arial"/>
          <w:sz w:val="24"/>
          <w:szCs w:val="24"/>
        </w:rPr>
        <w:t>, 2011)</w:t>
      </w:r>
    </w:p>
    <w:p w:rsidR="00FA77C8" w:rsidRPr="00FA77C8" w:rsidRDefault="00FA77C8" w:rsidP="00FA77C8">
      <w:pPr>
        <w:spacing w:line="360" w:lineRule="auto"/>
        <w:jc w:val="both"/>
        <w:rPr>
          <w:rFonts w:ascii="Arial" w:hAnsi="Arial" w:cs="Arial"/>
          <w:sz w:val="24"/>
          <w:szCs w:val="24"/>
        </w:rPr>
      </w:pPr>
      <w:r w:rsidRPr="00FA77C8">
        <w:rPr>
          <w:rFonts w:ascii="Arial" w:hAnsi="Arial" w:cs="Arial"/>
          <w:sz w:val="24"/>
          <w:szCs w:val="24"/>
        </w:rPr>
        <w:t>E</w:t>
      </w:r>
      <w:r w:rsidR="008C4787">
        <w:rPr>
          <w:rFonts w:ascii="Arial" w:hAnsi="Arial" w:cs="Arial"/>
          <w:sz w:val="24"/>
          <w:szCs w:val="24"/>
        </w:rPr>
        <w:t xml:space="preserve">s </w:t>
      </w:r>
      <w:r w:rsidRPr="00FA77C8">
        <w:rPr>
          <w:rFonts w:ascii="Arial" w:hAnsi="Arial" w:cs="Arial"/>
          <w:sz w:val="24"/>
          <w:szCs w:val="24"/>
        </w:rPr>
        <w:t>decir, lo que se necesita es construir una cultura de innovación que descanse en el desarrollo de comunidades de</w:t>
      </w:r>
      <w:r w:rsidR="00204052">
        <w:rPr>
          <w:rFonts w:ascii="Arial" w:hAnsi="Arial" w:cs="Arial"/>
          <w:sz w:val="24"/>
          <w:szCs w:val="24"/>
        </w:rPr>
        <w:t xml:space="preserve"> aprendizaje profesional</w:t>
      </w:r>
      <w:r w:rsidRPr="00FA77C8">
        <w:rPr>
          <w:rFonts w:ascii="Arial" w:hAnsi="Arial" w:cs="Arial"/>
          <w:sz w:val="24"/>
          <w:szCs w:val="24"/>
        </w:rPr>
        <w:t xml:space="preserve">, </w:t>
      </w:r>
      <w:r w:rsidR="00204052">
        <w:rPr>
          <w:rFonts w:ascii="Arial" w:hAnsi="Arial" w:cs="Arial"/>
          <w:sz w:val="24"/>
          <w:szCs w:val="24"/>
        </w:rPr>
        <w:t xml:space="preserve">las cuales </w:t>
      </w:r>
      <w:r w:rsidRPr="00FA77C8">
        <w:rPr>
          <w:rFonts w:ascii="Arial" w:hAnsi="Arial" w:cs="Arial"/>
          <w:sz w:val="24"/>
          <w:szCs w:val="24"/>
        </w:rPr>
        <w:t>trabajen conjuntamente en proyectos educativos concretos y pertinentes a su contexto, lo que exige condiciones organizativas y laborales que refuercen el criterio propio, la toma</w:t>
      </w:r>
      <w:r w:rsidR="00204052">
        <w:rPr>
          <w:rFonts w:ascii="Arial" w:hAnsi="Arial" w:cs="Arial"/>
          <w:sz w:val="24"/>
          <w:szCs w:val="24"/>
        </w:rPr>
        <w:t xml:space="preserve"> de decisiones de los docentes, al igual que </w:t>
      </w:r>
      <w:r w:rsidRPr="00FA77C8">
        <w:rPr>
          <w:rFonts w:ascii="Arial" w:hAnsi="Arial" w:cs="Arial"/>
          <w:sz w:val="24"/>
          <w:szCs w:val="24"/>
        </w:rPr>
        <w:t xml:space="preserve"> las oportunidades para aprender unos de otros. </w:t>
      </w:r>
    </w:p>
    <w:p w:rsidR="00FA77C8" w:rsidRPr="00FA77C8" w:rsidRDefault="00FA77C8" w:rsidP="00FA77C8">
      <w:pPr>
        <w:widowControl w:val="0"/>
        <w:spacing w:line="360" w:lineRule="auto"/>
        <w:jc w:val="both"/>
        <w:rPr>
          <w:rFonts w:ascii="Arial" w:hAnsi="Arial" w:cs="Arial"/>
          <w:color w:val="222222"/>
          <w:sz w:val="24"/>
          <w:szCs w:val="24"/>
        </w:rPr>
      </w:pPr>
      <w:r w:rsidRPr="00FA77C8">
        <w:rPr>
          <w:rFonts w:ascii="Arial" w:hAnsi="Arial" w:cs="Arial"/>
          <w:sz w:val="24"/>
          <w:szCs w:val="24"/>
        </w:rPr>
        <w:t>Para una  ejecución exitosa, e</w:t>
      </w:r>
      <w:r w:rsidRPr="00FA77C8">
        <w:rPr>
          <w:rFonts w:ascii="Arial" w:hAnsi="Arial" w:cs="Arial"/>
          <w:color w:val="222222"/>
          <w:sz w:val="24"/>
          <w:szCs w:val="24"/>
          <w:highlight w:val="white"/>
        </w:rPr>
        <w:t>s importante tomar en cuenta los siguientes aspectos:</w:t>
      </w:r>
    </w:p>
    <w:p w:rsidR="00FA77C8" w:rsidRPr="00FA77C8" w:rsidRDefault="00FA77C8" w:rsidP="00FA77C8">
      <w:pPr>
        <w:widowControl w:val="0"/>
        <w:spacing w:line="360" w:lineRule="auto"/>
        <w:ind w:hanging="359"/>
        <w:jc w:val="both"/>
        <w:rPr>
          <w:rFonts w:ascii="Arial" w:hAnsi="Arial" w:cs="Arial"/>
          <w:sz w:val="24"/>
          <w:szCs w:val="24"/>
        </w:rPr>
      </w:pPr>
      <w:r w:rsidRPr="00FA77C8">
        <w:rPr>
          <w:rFonts w:ascii="Arial" w:hAnsi="Arial" w:cs="Arial"/>
          <w:color w:val="222222"/>
          <w:sz w:val="24"/>
          <w:szCs w:val="24"/>
          <w:highlight w:val="white"/>
        </w:rPr>
        <w:t xml:space="preserve">1. Debe existir un objetivo en común entre un número de personas, que con base en el eje temático,  consistirá en el apoyo que brinda la investigación educativa al enriquecimiento de  la práctica docente. </w:t>
      </w:r>
    </w:p>
    <w:p w:rsidR="00FA77C8" w:rsidRPr="00FA77C8" w:rsidRDefault="00FA77C8" w:rsidP="00FA77C8">
      <w:pPr>
        <w:widowControl w:val="0"/>
        <w:spacing w:line="360" w:lineRule="auto"/>
        <w:ind w:hanging="359"/>
        <w:jc w:val="both"/>
        <w:rPr>
          <w:rFonts w:ascii="Arial" w:hAnsi="Arial" w:cs="Arial"/>
          <w:sz w:val="24"/>
          <w:szCs w:val="24"/>
        </w:rPr>
      </w:pPr>
      <w:r w:rsidRPr="00FA77C8">
        <w:rPr>
          <w:rFonts w:ascii="Arial" w:hAnsi="Arial" w:cs="Arial"/>
          <w:color w:val="222222"/>
          <w:sz w:val="24"/>
          <w:szCs w:val="24"/>
          <w:highlight w:val="white"/>
        </w:rPr>
        <w:t xml:space="preserve">2. La comunidad debe organizarse, de manera lógica y coherente. </w:t>
      </w:r>
    </w:p>
    <w:p w:rsidR="00FA77C8" w:rsidRPr="00FA77C8" w:rsidRDefault="00FA77C8" w:rsidP="00FA77C8">
      <w:pPr>
        <w:widowControl w:val="0"/>
        <w:spacing w:line="360" w:lineRule="auto"/>
        <w:ind w:hanging="359"/>
        <w:jc w:val="both"/>
        <w:rPr>
          <w:rFonts w:ascii="Arial" w:hAnsi="Arial" w:cs="Arial"/>
          <w:sz w:val="24"/>
          <w:szCs w:val="24"/>
        </w:rPr>
      </w:pPr>
      <w:r w:rsidRPr="00FA77C8">
        <w:rPr>
          <w:rFonts w:ascii="Arial" w:hAnsi="Arial" w:cs="Arial"/>
          <w:color w:val="222222"/>
          <w:sz w:val="24"/>
          <w:szCs w:val="24"/>
          <w:highlight w:val="white"/>
        </w:rPr>
        <w:t>3. Compartir ideas basadas en los conocimientos y puntos de vista de cada uno de los integrantes de la comunidad.</w:t>
      </w:r>
    </w:p>
    <w:p w:rsidR="00FA77C8" w:rsidRPr="00FA77C8" w:rsidRDefault="00FA77C8" w:rsidP="00FA77C8">
      <w:pPr>
        <w:widowControl w:val="0"/>
        <w:spacing w:line="360" w:lineRule="auto"/>
        <w:ind w:hanging="359"/>
        <w:jc w:val="both"/>
        <w:rPr>
          <w:rFonts w:ascii="Arial" w:hAnsi="Arial" w:cs="Arial"/>
          <w:sz w:val="24"/>
          <w:szCs w:val="24"/>
        </w:rPr>
      </w:pPr>
      <w:r w:rsidRPr="00FA77C8">
        <w:rPr>
          <w:rFonts w:ascii="Arial" w:eastAsia="Times New Roman" w:hAnsi="Arial" w:cs="Arial"/>
          <w:sz w:val="24"/>
          <w:szCs w:val="24"/>
        </w:rPr>
        <w:t xml:space="preserve">4. </w:t>
      </w:r>
      <w:r w:rsidRPr="00FA77C8">
        <w:rPr>
          <w:rFonts w:ascii="Arial" w:hAnsi="Arial" w:cs="Arial"/>
          <w:color w:val="222222"/>
          <w:sz w:val="24"/>
          <w:szCs w:val="24"/>
          <w:highlight w:val="white"/>
        </w:rPr>
        <w:t>Proporcionar información verídica y propia de cada una de las investigaciones proporcionadas.</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lastRenderedPageBreak/>
        <w:t>La comunidad de aprendizaje propuesta, permitirá compartir y discutir experiencias de investigación educativa, seleccionadas bajo un núcleo de problemas que aquejan al contexto educativo mexicano en el nivel de la educación básica, participando en eventos académicos para socializar la información, tanto con la misma institución, como con las diversas Normales del país.</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sz w:val="24"/>
          <w:szCs w:val="24"/>
        </w:rPr>
        <w:t>En sínt</w:t>
      </w:r>
      <w:r w:rsidR="00204052">
        <w:rPr>
          <w:rFonts w:ascii="Arial" w:hAnsi="Arial" w:cs="Arial"/>
          <w:sz w:val="24"/>
          <w:szCs w:val="24"/>
        </w:rPr>
        <w:t xml:space="preserve">esis esta propuesta genera </w:t>
      </w:r>
      <w:r w:rsidRPr="00FA77C8">
        <w:rPr>
          <w:rFonts w:ascii="Arial" w:hAnsi="Arial" w:cs="Arial"/>
          <w:sz w:val="24"/>
          <w:szCs w:val="24"/>
        </w:rPr>
        <w:t xml:space="preserve"> planes de acción,  que contribuyen a la retroalimentación de distintas visiones y que progresivamente facilitarán la obtención de nuevas respuestas, es así que  tomará especial relevancia en los intercambios de significados y los apoyos que se prestan tanto entre los iguales como en las aportaciones procedentes de los docentes u otro colaborador de manera que el proceso se configura como un tejido  compartido encaminado a promocionar la experiencia educativa.</w:t>
      </w:r>
    </w:p>
    <w:p w:rsidR="00FA77C8" w:rsidRPr="00FA77C8" w:rsidRDefault="00FA77C8" w:rsidP="00FA77C8">
      <w:pPr>
        <w:widowControl w:val="0"/>
        <w:spacing w:line="360" w:lineRule="auto"/>
        <w:jc w:val="both"/>
        <w:rPr>
          <w:rFonts w:ascii="Arial" w:hAnsi="Arial" w:cs="Arial"/>
          <w:sz w:val="24"/>
          <w:szCs w:val="24"/>
        </w:rPr>
      </w:pPr>
      <w:r w:rsidRPr="00FA77C8">
        <w:rPr>
          <w:rFonts w:ascii="Arial" w:hAnsi="Arial" w:cs="Arial"/>
          <w:b/>
          <w:sz w:val="24"/>
          <w:szCs w:val="24"/>
        </w:rPr>
        <w:t xml:space="preserve"> Referencias:</w:t>
      </w:r>
    </w:p>
    <w:p w:rsidR="0075024F" w:rsidRDefault="0075024F" w:rsidP="00FA77C8">
      <w:pPr>
        <w:pStyle w:val="Prrafodelista"/>
        <w:numPr>
          <w:ilvl w:val="0"/>
          <w:numId w:val="5"/>
        </w:numPr>
        <w:spacing w:line="360" w:lineRule="auto"/>
        <w:ind w:left="357" w:hanging="357"/>
        <w:jc w:val="both"/>
        <w:rPr>
          <w:rFonts w:ascii="Arial" w:hAnsi="Arial" w:cs="Arial"/>
          <w:sz w:val="24"/>
          <w:szCs w:val="24"/>
        </w:rPr>
      </w:pPr>
      <w:r>
        <w:rPr>
          <w:rFonts w:ascii="Arial" w:hAnsi="Arial" w:cs="Arial"/>
          <w:sz w:val="24"/>
          <w:szCs w:val="24"/>
        </w:rPr>
        <w:t xml:space="preserve">D. R Secretaria de Educación Pública (2012). El  trayecto de Práctica profesional: orientaciones para su desarrollo. Plan de estudios 2012. </w:t>
      </w:r>
    </w:p>
    <w:p w:rsidR="0075024F" w:rsidRDefault="0075024F" w:rsidP="00FA77C8">
      <w:pPr>
        <w:pStyle w:val="Prrafodelista"/>
        <w:numPr>
          <w:ilvl w:val="0"/>
          <w:numId w:val="5"/>
        </w:numPr>
        <w:spacing w:line="360" w:lineRule="auto"/>
        <w:ind w:left="357" w:hanging="357"/>
        <w:jc w:val="both"/>
        <w:rPr>
          <w:rFonts w:ascii="Arial" w:hAnsi="Arial" w:cs="Arial"/>
          <w:sz w:val="24"/>
          <w:szCs w:val="24"/>
        </w:rPr>
      </w:pPr>
      <w:r w:rsidRPr="00FA77C8">
        <w:rPr>
          <w:rFonts w:ascii="Arial" w:hAnsi="Arial" w:cs="Arial"/>
          <w:sz w:val="24"/>
          <w:szCs w:val="24"/>
        </w:rPr>
        <w:t>Díaz-Barriga Arceo, F. “Lo</w:t>
      </w:r>
      <w:bookmarkStart w:id="0" w:name="_GoBack"/>
      <w:bookmarkEnd w:id="0"/>
      <w:r w:rsidRPr="00FA77C8">
        <w:rPr>
          <w:rFonts w:ascii="Arial" w:hAnsi="Arial" w:cs="Arial"/>
          <w:sz w:val="24"/>
          <w:szCs w:val="24"/>
        </w:rPr>
        <w:t xml:space="preserve">s profesores ante las innovaciones curriculares”, en: Revista Iberoamericana de Educación Superior (RIES), [En línea] México: </w:t>
      </w:r>
      <w:proofErr w:type="spellStart"/>
      <w:r w:rsidRPr="00FA77C8">
        <w:rPr>
          <w:rFonts w:ascii="Arial" w:hAnsi="Arial" w:cs="Arial"/>
          <w:sz w:val="24"/>
          <w:szCs w:val="24"/>
        </w:rPr>
        <w:t>IISUE</w:t>
      </w:r>
      <w:proofErr w:type="spellEnd"/>
      <w:r w:rsidRPr="00FA77C8">
        <w:rPr>
          <w:rFonts w:ascii="Arial" w:hAnsi="Arial" w:cs="Arial"/>
          <w:sz w:val="24"/>
          <w:szCs w:val="24"/>
        </w:rPr>
        <w:t>-UNAM/</w:t>
      </w:r>
      <w:proofErr w:type="spellStart"/>
      <w:r w:rsidRPr="00FA77C8">
        <w:rPr>
          <w:rFonts w:ascii="Arial" w:hAnsi="Arial" w:cs="Arial"/>
          <w:sz w:val="24"/>
          <w:szCs w:val="24"/>
        </w:rPr>
        <w:t>Universia</w:t>
      </w:r>
      <w:proofErr w:type="spellEnd"/>
      <w:r w:rsidRPr="00FA77C8">
        <w:rPr>
          <w:rFonts w:ascii="Arial" w:hAnsi="Arial" w:cs="Arial"/>
          <w:sz w:val="24"/>
          <w:szCs w:val="24"/>
        </w:rPr>
        <w:t xml:space="preserve">, 2010, vol. 1, núm.1, [Fecha de consulta: 19 de marzo de 2013] Disponible en </w:t>
      </w:r>
      <w:hyperlink r:id="rId8" w:history="1">
        <w:r w:rsidRPr="0097477F">
          <w:rPr>
            <w:rStyle w:val="Hipervnculo"/>
            <w:rFonts w:ascii="Arial" w:hAnsi="Arial" w:cs="Arial"/>
            <w:sz w:val="24"/>
            <w:szCs w:val="24"/>
          </w:rPr>
          <w:t>http://ries.universia.net/index.php/ries/article/view/35</w:t>
        </w:r>
      </w:hyperlink>
    </w:p>
    <w:p w:rsidR="0075024F" w:rsidRPr="00FA77C8" w:rsidRDefault="0075024F" w:rsidP="00FA77C8">
      <w:pPr>
        <w:pStyle w:val="Prrafodelista"/>
        <w:numPr>
          <w:ilvl w:val="0"/>
          <w:numId w:val="5"/>
        </w:numPr>
        <w:spacing w:line="360" w:lineRule="auto"/>
        <w:ind w:left="357" w:hanging="357"/>
        <w:jc w:val="both"/>
        <w:rPr>
          <w:rFonts w:ascii="Arial" w:hAnsi="Arial" w:cs="Arial"/>
          <w:sz w:val="24"/>
          <w:szCs w:val="24"/>
        </w:rPr>
      </w:pPr>
      <w:r w:rsidRPr="00FA77C8">
        <w:rPr>
          <w:rFonts w:ascii="Arial" w:hAnsi="Arial" w:cs="Arial"/>
          <w:sz w:val="24"/>
          <w:szCs w:val="24"/>
          <w:lang w:val="en-US"/>
        </w:rPr>
        <w:t xml:space="preserve">Littlejohn, Allison (2011). Connected knowledge, collective learning [En </w:t>
      </w:r>
      <w:proofErr w:type="spellStart"/>
      <w:r w:rsidRPr="00FA77C8">
        <w:rPr>
          <w:rFonts w:ascii="Arial" w:hAnsi="Arial" w:cs="Arial"/>
          <w:sz w:val="24"/>
          <w:szCs w:val="24"/>
          <w:lang w:val="en-US"/>
        </w:rPr>
        <w:t>línea</w:t>
      </w:r>
      <w:proofErr w:type="spellEnd"/>
      <w:r w:rsidRPr="00FA77C8">
        <w:rPr>
          <w:rFonts w:ascii="Arial" w:hAnsi="Arial" w:cs="Arial"/>
          <w:sz w:val="24"/>
          <w:szCs w:val="24"/>
          <w:lang w:val="en-US"/>
        </w:rPr>
        <w:t xml:space="preserve">]. </w:t>
      </w:r>
      <w:r w:rsidRPr="00FA77C8">
        <w:rPr>
          <w:rFonts w:ascii="Arial" w:hAnsi="Arial" w:cs="Arial"/>
          <w:sz w:val="24"/>
          <w:szCs w:val="24"/>
        </w:rPr>
        <w:t xml:space="preserve">Documento disponible en: </w:t>
      </w:r>
      <w:hyperlink r:id="rId9" w:history="1">
        <w:r w:rsidRPr="00FA77C8">
          <w:rPr>
            <w:rStyle w:val="Hipervnculo"/>
            <w:rFonts w:ascii="Arial" w:hAnsi="Arial" w:cs="Arial"/>
            <w:color w:val="1155CC"/>
            <w:sz w:val="24"/>
            <w:szCs w:val="24"/>
          </w:rPr>
          <w:t>http://littlebylittlejohn.com/change11-position-paper/</w:t>
        </w:r>
      </w:hyperlink>
    </w:p>
    <w:p w:rsidR="0075024F" w:rsidRPr="00FA77C8" w:rsidRDefault="0075024F" w:rsidP="00FA77C8">
      <w:pPr>
        <w:pStyle w:val="Prrafodelista"/>
        <w:widowControl w:val="0"/>
        <w:numPr>
          <w:ilvl w:val="0"/>
          <w:numId w:val="5"/>
        </w:numPr>
        <w:spacing w:line="360" w:lineRule="auto"/>
        <w:ind w:left="357" w:hanging="357"/>
        <w:jc w:val="both"/>
        <w:rPr>
          <w:rFonts w:ascii="Arial" w:hAnsi="Arial" w:cs="Arial"/>
          <w:sz w:val="24"/>
          <w:szCs w:val="24"/>
        </w:rPr>
      </w:pPr>
      <w:r w:rsidRPr="00FA77C8">
        <w:rPr>
          <w:rFonts w:ascii="Arial" w:hAnsi="Arial" w:cs="Arial"/>
          <w:sz w:val="24"/>
          <w:szCs w:val="24"/>
        </w:rPr>
        <w:t xml:space="preserve">M. Paz </w:t>
      </w:r>
      <w:proofErr w:type="spellStart"/>
      <w:r w:rsidRPr="00FA77C8">
        <w:rPr>
          <w:rFonts w:ascii="Arial" w:hAnsi="Arial" w:cs="Arial"/>
          <w:sz w:val="24"/>
          <w:szCs w:val="24"/>
        </w:rPr>
        <w:t>Sandín</w:t>
      </w:r>
      <w:proofErr w:type="spellEnd"/>
      <w:r w:rsidRPr="00FA77C8">
        <w:rPr>
          <w:rFonts w:ascii="Arial" w:hAnsi="Arial" w:cs="Arial"/>
          <w:sz w:val="24"/>
          <w:szCs w:val="24"/>
        </w:rPr>
        <w:t xml:space="preserve"> Esteban (2006). Artículo: Reseña de "Investigación cualitativa en educación: fundamentos y tradiciones" de Revista: </w:t>
      </w:r>
      <w:proofErr w:type="spellStart"/>
      <w:r w:rsidRPr="00FA77C8">
        <w:rPr>
          <w:rFonts w:ascii="Arial" w:hAnsi="Arial" w:cs="Arial"/>
          <w:sz w:val="24"/>
          <w:szCs w:val="24"/>
        </w:rPr>
        <w:t>Educere</w:t>
      </w:r>
      <w:proofErr w:type="spellEnd"/>
      <w:r w:rsidRPr="00FA77C8">
        <w:rPr>
          <w:rFonts w:ascii="Arial" w:hAnsi="Arial" w:cs="Arial"/>
          <w:sz w:val="24"/>
          <w:szCs w:val="24"/>
        </w:rPr>
        <w:t>.</w:t>
      </w:r>
    </w:p>
    <w:p w:rsidR="0075024F" w:rsidRPr="00FA77C8" w:rsidRDefault="0075024F" w:rsidP="00FA77C8">
      <w:pPr>
        <w:pStyle w:val="Prrafodelista"/>
        <w:numPr>
          <w:ilvl w:val="0"/>
          <w:numId w:val="5"/>
        </w:numPr>
        <w:spacing w:line="360" w:lineRule="auto"/>
        <w:ind w:left="357" w:hanging="357"/>
        <w:jc w:val="both"/>
        <w:rPr>
          <w:rFonts w:ascii="Arial" w:hAnsi="Arial" w:cs="Arial"/>
          <w:sz w:val="24"/>
          <w:szCs w:val="24"/>
        </w:rPr>
      </w:pPr>
      <w:proofErr w:type="spellStart"/>
      <w:r w:rsidRPr="00FA77C8">
        <w:rPr>
          <w:rFonts w:ascii="Arial" w:hAnsi="Arial" w:cs="Arial"/>
          <w:sz w:val="24"/>
          <w:szCs w:val="24"/>
        </w:rPr>
        <w:t>Pozueloz</w:t>
      </w:r>
      <w:proofErr w:type="spellEnd"/>
      <w:r w:rsidRPr="00FA77C8">
        <w:rPr>
          <w:rFonts w:ascii="Arial" w:hAnsi="Arial" w:cs="Arial"/>
          <w:sz w:val="24"/>
          <w:szCs w:val="24"/>
        </w:rPr>
        <w:t xml:space="preserve">, F. J. y </w:t>
      </w:r>
      <w:proofErr w:type="spellStart"/>
      <w:r w:rsidRPr="00FA77C8">
        <w:rPr>
          <w:rFonts w:ascii="Arial" w:hAnsi="Arial" w:cs="Arial"/>
          <w:sz w:val="24"/>
          <w:szCs w:val="24"/>
        </w:rPr>
        <w:t>Travé</w:t>
      </w:r>
      <w:proofErr w:type="spellEnd"/>
      <w:r w:rsidRPr="00FA77C8">
        <w:rPr>
          <w:rFonts w:ascii="Arial" w:hAnsi="Arial" w:cs="Arial"/>
          <w:sz w:val="24"/>
          <w:szCs w:val="24"/>
        </w:rPr>
        <w:t xml:space="preserve">, G. (2005) Aprender investigando, investigar para aprender. El punto de vista de los futuros docentes. Una investigación en el marco de la formación inicial de magisterio y Psicopedagogía. Investigación en la Escuela, 54, 2-25 </w:t>
      </w:r>
    </w:p>
    <w:p w:rsidR="0075024F" w:rsidRPr="0075024F" w:rsidRDefault="0075024F" w:rsidP="0075024F">
      <w:pPr>
        <w:pStyle w:val="Prrafodelista"/>
        <w:numPr>
          <w:ilvl w:val="0"/>
          <w:numId w:val="5"/>
        </w:numPr>
        <w:spacing w:line="360" w:lineRule="auto"/>
        <w:ind w:left="357" w:hanging="357"/>
        <w:jc w:val="both"/>
        <w:rPr>
          <w:rStyle w:val="null"/>
          <w:rFonts w:ascii="Arial" w:hAnsi="Arial" w:cs="Arial"/>
          <w:sz w:val="24"/>
          <w:szCs w:val="24"/>
        </w:rPr>
      </w:pPr>
      <w:r w:rsidRPr="0075024F">
        <w:rPr>
          <w:rFonts w:ascii="Arial" w:hAnsi="Arial" w:cs="Arial"/>
          <w:i/>
          <w:noProof/>
          <w:sz w:val="24"/>
          <w:szCs w:val="24"/>
        </w:rPr>
        <w:t xml:space="preserve">SEP. (2012). </w:t>
      </w:r>
      <w:r w:rsidRPr="0075024F">
        <w:rPr>
          <w:rFonts w:ascii="Arial" w:hAnsi="Arial" w:cs="Arial"/>
          <w:i/>
          <w:iCs/>
          <w:noProof/>
          <w:sz w:val="24"/>
          <w:szCs w:val="24"/>
        </w:rPr>
        <w:t>ACUERDO número 650 por el que se establece el Plan de Estudios para la Formación de Maestros de Educación.</w:t>
      </w:r>
    </w:p>
    <w:sectPr w:rsidR="0075024F" w:rsidRPr="0075024F" w:rsidSect="00706740">
      <w:pgSz w:w="12240" w:h="15840"/>
      <w:pgMar w:top="1417" w:right="1701" w:bottom="1417"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269E0"/>
    <w:multiLevelType w:val="hybridMultilevel"/>
    <w:tmpl w:val="D646BA0C"/>
    <w:lvl w:ilvl="0" w:tplc="3B00FF96">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D2555E"/>
    <w:multiLevelType w:val="hybridMultilevel"/>
    <w:tmpl w:val="A2B69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B0441F5"/>
    <w:multiLevelType w:val="hybridMultilevel"/>
    <w:tmpl w:val="A828B956"/>
    <w:lvl w:ilvl="0" w:tplc="E7DC7D48">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D07630F"/>
    <w:multiLevelType w:val="hybridMultilevel"/>
    <w:tmpl w:val="462ECCD2"/>
    <w:lvl w:ilvl="0" w:tplc="D652A6B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12B4638"/>
    <w:multiLevelType w:val="hybridMultilevel"/>
    <w:tmpl w:val="4BC066B0"/>
    <w:lvl w:ilvl="0" w:tplc="E7DC7D48">
      <w:start w:val="4"/>
      <w:numFmt w:val="bullet"/>
      <w:lvlText w:val=""/>
      <w:lvlJc w:val="left"/>
      <w:pPr>
        <w:ind w:left="781" w:hanging="360"/>
      </w:pPr>
      <w:rPr>
        <w:rFonts w:ascii="Symbol" w:eastAsiaTheme="minorHAnsi" w:hAnsi="Symbol" w:cs="Aria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4564E"/>
    <w:rsid w:val="00001952"/>
    <w:rsid w:val="00036F36"/>
    <w:rsid w:val="000F0BA1"/>
    <w:rsid w:val="00161CB8"/>
    <w:rsid w:val="00204052"/>
    <w:rsid w:val="0022322A"/>
    <w:rsid w:val="00253122"/>
    <w:rsid w:val="00292EE9"/>
    <w:rsid w:val="003A7B10"/>
    <w:rsid w:val="003F64BC"/>
    <w:rsid w:val="00555059"/>
    <w:rsid w:val="005B746D"/>
    <w:rsid w:val="005D0E76"/>
    <w:rsid w:val="005F1919"/>
    <w:rsid w:val="00701B17"/>
    <w:rsid w:val="00706740"/>
    <w:rsid w:val="0075024F"/>
    <w:rsid w:val="0076087B"/>
    <w:rsid w:val="007A14A7"/>
    <w:rsid w:val="007D0BBD"/>
    <w:rsid w:val="007D314C"/>
    <w:rsid w:val="008B7772"/>
    <w:rsid w:val="008C4787"/>
    <w:rsid w:val="008F4C69"/>
    <w:rsid w:val="00930047"/>
    <w:rsid w:val="00997941"/>
    <w:rsid w:val="009B10B4"/>
    <w:rsid w:val="009E344F"/>
    <w:rsid w:val="00B222A4"/>
    <w:rsid w:val="00C1534A"/>
    <w:rsid w:val="00CD450C"/>
    <w:rsid w:val="00D44C2C"/>
    <w:rsid w:val="00D4564E"/>
    <w:rsid w:val="00DC1AA1"/>
    <w:rsid w:val="00E06720"/>
    <w:rsid w:val="00E54C10"/>
    <w:rsid w:val="00ED727D"/>
    <w:rsid w:val="00FA77C8"/>
    <w:rsid w:val="00FE5E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6740"/>
    <w:pPr>
      <w:ind w:left="720"/>
      <w:contextualSpacing/>
    </w:pPr>
  </w:style>
  <w:style w:type="character" w:customStyle="1" w:styleId="null">
    <w:name w:val="null"/>
    <w:basedOn w:val="Fuentedeprrafopredeter"/>
    <w:rsid w:val="00997941"/>
  </w:style>
  <w:style w:type="paragraph" w:styleId="Bibliografa">
    <w:name w:val="Bibliography"/>
    <w:basedOn w:val="Normal"/>
    <w:next w:val="Normal"/>
    <w:uiPriority w:val="37"/>
    <w:unhideWhenUsed/>
    <w:rsid w:val="008F4C69"/>
  </w:style>
  <w:style w:type="character" w:styleId="Hipervnculo">
    <w:name w:val="Hyperlink"/>
    <w:basedOn w:val="Fuentedeprrafopredeter"/>
    <w:uiPriority w:val="99"/>
    <w:unhideWhenUsed/>
    <w:rsid w:val="00FA77C8"/>
    <w:rPr>
      <w:color w:val="0000FF"/>
      <w:u w:val="single"/>
    </w:rPr>
  </w:style>
  <w:style w:type="paragraph" w:styleId="NormalWeb">
    <w:name w:val="Normal (Web)"/>
    <w:basedOn w:val="Normal"/>
    <w:uiPriority w:val="99"/>
    <w:semiHidden/>
    <w:unhideWhenUsed/>
    <w:rsid w:val="008B777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23370540">
      <w:bodyDiv w:val="1"/>
      <w:marLeft w:val="0"/>
      <w:marRight w:val="0"/>
      <w:marTop w:val="0"/>
      <w:marBottom w:val="0"/>
      <w:divBdr>
        <w:top w:val="none" w:sz="0" w:space="0" w:color="auto"/>
        <w:left w:val="none" w:sz="0" w:space="0" w:color="auto"/>
        <w:bottom w:val="none" w:sz="0" w:space="0" w:color="auto"/>
        <w:right w:val="none" w:sz="0" w:space="0" w:color="auto"/>
      </w:divBdr>
    </w:div>
    <w:div w:id="1255744571">
      <w:bodyDiv w:val="1"/>
      <w:marLeft w:val="0"/>
      <w:marRight w:val="0"/>
      <w:marTop w:val="0"/>
      <w:marBottom w:val="0"/>
      <w:divBdr>
        <w:top w:val="none" w:sz="0" w:space="0" w:color="auto"/>
        <w:left w:val="none" w:sz="0" w:space="0" w:color="auto"/>
        <w:bottom w:val="none" w:sz="0" w:space="0" w:color="auto"/>
        <w:right w:val="none" w:sz="0" w:space="0" w:color="auto"/>
      </w:divBdr>
    </w:div>
    <w:div w:id="1352872595">
      <w:bodyDiv w:val="1"/>
      <w:marLeft w:val="0"/>
      <w:marRight w:val="0"/>
      <w:marTop w:val="0"/>
      <w:marBottom w:val="0"/>
      <w:divBdr>
        <w:top w:val="none" w:sz="0" w:space="0" w:color="auto"/>
        <w:left w:val="none" w:sz="0" w:space="0" w:color="auto"/>
        <w:bottom w:val="none" w:sz="0" w:space="0" w:color="auto"/>
        <w:right w:val="none" w:sz="0" w:space="0" w:color="auto"/>
      </w:divBdr>
    </w:div>
    <w:div w:id="1382897152">
      <w:bodyDiv w:val="1"/>
      <w:marLeft w:val="0"/>
      <w:marRight w:val="0"/>
      <w:marTop w:val="0"/>
      <w:marBottom w:val="0"/>
      <w:divBdr>
        <w:top w:val="none" w:sz="0" w:space="0" w:color="auto"/>
        <w:left w:val="none" w:sz="0" w:space="0" w:color="auto"/>
        <w:bottom w:val="none" w:sz="0" w:space="0" w:color="auto"/>
        <w:right w:val="none" w:sz="0" w:space="0" w:color="auto"/>
      </w:divBdr>
    </w:div>
    <w:div w:id="1441604850">
      <w:bodyDiv w:val="1"/>
      <w:marLeft w:val="0"/>
      <w:marRight w:val="0"/>
      <w:marTop w:val="0"/>
      <w:marBottom w:val="0"/>
      <w:divBdr>
        <w:top w:val="none" w:sz="0" w:space="0" w:color="auto"/>
        <w:left w:val="none" w:sz="0" w:space="0" w:color="auto"/>
        <w:bottom w:val="none" w:sz="0" w:space="0" w:color="auto"/>
        <w:right w:val="none" w:sz="0" w:space="0" w:color="auto"/>
      </w:divBdr>
    </w:div>
    <w:div w:id="1486239759">
      <w:bodyDiv w:val="1"/>
      <w:marLeft w:val="0"/>
      <w:marRight w:val="0"/>
      <w:marTop w:val="0"/>
      <w:marBottom w:val="0"/>
      <w:divBdr>
        <w:top w:val="none" w:sz="0" w:space="0" w:color="auto"/>
        <w:left w:val="none" w:sz="0" w:space="0" w:color="auto"/>
        <w:bottom w:val="none" w:sz="0" w:space="0" w:color="auto"/>
        <w:right w:val="none" w:sz="0" w:space="0" w:color="auto"/>
      </w:divBdr>
    </w:div>
    <w:div w:id="1550805827">
      <w:bodyDiv w:val="1"/>
      <w:marLeft w:val="0"/>
      <w:marRight w:val="0"/>
      <w:marTop w:val="0"/>
      <w:marBottom w:val="0"/>
      <w:divBdr>
        <w:top w:val="none" w:sz="0" w:space="0" w:color="auto"/>
        <w:left w:val="none" w:sz="0" w:space="0" w:color="auto"/>
        <w:bottom w:val="none" w:sz="0" w:space="0" w:color="auto"/>
        <w:right w:val="none" w:sz="0" w:space="0" w:color="auto"/>
      </w:divBdr>
    </w:div>
    <w:div w:id="1761020993">
      <w:bodyDiv w:val="1"/>
      <w:marLeft w:val="0"/>
      <w:marRight w:val="0"/>
      <w:marTop w:val="0"/>
      <w:marBottom w:val="0"/>
      <w:divBdr>
        <w:top w:val="none" w:sz="0" w:space="0" w:color="auto"/>
        <w:left w:val="none" w:sz="0" w:space="0" w:color="auto"/>
        <w:bottom w:val="none" w:sz="0" w:space="0" w:color="auto"/>
        <w:right w:val="none" w:sz="0" w:space="0" w:color="auto"/>
      </w:divBdr>
    </w:div>
    <w:div w:id="19165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es.universia.net/index.php/ries/article/view/35"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tlebylittlejohn.com/change11-position-pap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b:Tag>
    <b:SourceType>DocumentFromInternetSite</b:SourceType>
    <b:Guid>{65D49396-09A3-469D-BD7C-80228A9EA1FE}</b:Guid>
    <b:Title>ACUERDO número 650 por el que se establece el Plan de Estudios para la Formación de Maestros de Educación</b:Title>
    <b:Author>
      <b:Author>
        <b:NameList>
          <b:Person>
            <b:Last>SEP</b:Last>
          </b:Person>
        </b:NameList>
      </b:Author>
    </b:Author>
    <b:Year>2012</b:Year>
    <b:RefOrder>1</b:RefOrder>
  </b:Source>
  <b:Source>
    <b:Tag>Rob09</b:Tag>
    <b:SourceType>BookSection</b:SourceType>
    <b:Guid>{C7F9FD9E-72FB-426C-A3A9-B9F9AA14449E}</b:Guid>
    <b:Title>Los desafíos de las TIC para el cambio educativo   </b:Title>
    <b:InternetSiteTitle>ESPAÑA</b:InternetSiteTitle>
    <b:Year>2009</b:Year>
    <b:Author>
      <b:Author>
        <b:NameList>
          <b:Person>
            <b:Last>Díaz</b:Last>
            <b:First>Roberto</b:First>
            <b:Middle>Carneiro Juan Carlos Toscano Tamara</b:Middle>
          </b:Person>
        </b:NameList>
      </b:Author>
    </b:Author>
    <b:Publisher>Organización de Estados Iberoamericanos para la Educación, la Ciencia y la Cultura (OEI)</b:Publisher>
    <b:RefOrder>2</b:RefOrder>
  </b:Source>
</b:Sources>
</file>

<file path=customXml/itemProps1.xml><?xml version="1.0" encoding="utf-8"?>
<ds:datastoreItem xmlns:ds="http://schemas.openxmlformats.org/officeDocument/2006/customXml" ds:itemID="{95AA1093-833D-492D-9DF9-E0189F6F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1780</Words>
  <Characters>9794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Borges</dc:creator>
  <cp:lastModifiedBy>Pedro Ballote</cp:lastModifiedBy>
  <cp:revision>2</cp:revision>
  <dcterms:created xsi:type="dcterms:W3CDTF">2014-02-28T15:31:00Z</dcterms:created>
  <dcterms:modified xsi:type="dcterms:W3CDTF">2014-02-28T15:31:00Z</dcterms:modified>
</cp:coreProperties>
</file>